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rPr>
          <w:rFonts w:ascii="Helvetica" w:hAnsi="Helvetica"/>
          <w:sz w:val="32"/>
          <w:szCs w:val="32"/>
        </w:rPr>
      </w:pPr>
    </w:p>
    <w:p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rPr>
          <w:b w:val="1"/>
          <w:bCs w:val="1"/>
          <w:spacing w:val="0"/>
          <w:sz w:val="32"/>
          <w:szCs w:val="32"/>
        </w:rPr>
      </w:pPr>
      <w:r>
        <w:rPr>
          <w:b w:val="1"/>
          <w:bCs w:val="1"/>
          <w:spacing w:val="0"/>
          <w:sz w:val="32"/>
          <w:szCs w:val="32"/>
          <w:rtl w:val="0"/>
          <w:lang w:val="en-US"/>
        </w:rPr>
        <w:t>КРЕАТИВНЫЙ БРИФ</w:t>
      </w:r>
    </w:p>
    <w:p>
      <w:pPr>
        <w:pStyle w:val="Body"/>
        <w:rPr>
          <w:rFonts w:ascii="Helvetica" w:cs="Helvetica" w:hAnsi="Helvetica" w:eastAsia="Helvetica"/>
          <w:sz w:val="20"/>
          <w:szCs w:val="20"/>
        </w:rPr>
      </w:pPr>
    </w:p>
    <w:tbl>
      <w:tblPr>
        <w:tblW w:w="1018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62"/>
        <w:gridCol w:w="6226"/>
      </w:tblGrid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Рабочее название проекта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>Сведения о Заказчике</w:t>
            </w:r>
          </w:p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Полное название Заказчика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Продвигаемый продукт и бренд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Рынок </w:t>
            </w:r>
          </w:p>
        </w:tc>
      </w:tr>
      <w:tr>
        <w:tblPrEx>
          <w:shd w:val="clear" w:color="auto" w:fill="ced7e7"/>
        </w:tblPrEx>
        <w:trPr>
          <w:trHeight w:val="11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Основные конкуренты Заказчика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компании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бренды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рыночная доля конкурентов и Заказчика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Сильные и слабые стороны основных конкурентов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Сильные и слабые стороны компании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бренда Заказчика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Косвенные конкуренты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смежные категории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др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.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продукты и т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Сведения о продвигаемом бренде 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продукте</w:t>
            </w:r>
          </w:p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Образ бренда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компании Заказчика на данный момент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Желаемый образ бренда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компании Заказчика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какие образы и ценности должны связывать потребители с образом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бренда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6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Категория продукта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8"/>
                <w:szCs w:val="18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8"/>
                <w:szCs w:val="18"/>
                <w:rtl w:val="0"/>
                <w:lang w:val="ru-RU"/>
              </w:rPr>
              <w:t>специфика</w:t>
            </w:r>
            <w:r>
              <w:rPr>
                <w:rFonts w:ascii="Helvetica Neue" w:hAnsi="Helvetica Neue"/>
                <w:sz w:val="18"/>
                <w:szCs w:val="18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8"/>
                <w:szCs w:val="18"/>
                <w:rtl w:val="0"/>
                <w:lang w:val="ru-RU"/>
              </w:rPr>
              <w:t>особенности</w:t>
            </w:r>
            <w:r>
              <w:rPr>
                <w:rFonts w:ascii="Helvetica Neue" w:hAnsi="Helvetica Neue"/>
                <w:sz w:val="18"/>
                <w:szCs w:val="18"/>
                <w:rtl w:val="0"/>
                <w:lang w:val="ru-RU"/>
              </w:rPr>
              <w:t xml:space="preserve">)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Продуктовая линейка Заказчика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лидеры линейки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причины лидерства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)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Стоимость продукта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Дистрибьюция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основные места продаж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присутствие в сетях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конкурентность дистрибьюции Заказчика по сравнению с основными конкурентами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)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Основные регионы продаж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стратегически важные регионы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регионы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лидеры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>Целевая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аудитория</w:t>
            </w:r>
          </w:p>
        </w:tc>
      </w:tr>
      <w:tr>
        <w:tblPrEx>
          <w:shd w:val="clear" w:color="auto" w:fill="ced7e7"/>
        </w:tblPrEx>
        <w:trPr>
          <w:trHeight w:val="1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Описание Ц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А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16"/>
                <w:szCs w:val="16"/>
                <w:rtl w:val="0"/>
              </w:rPr>
            </w:pP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соц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.-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дем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 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пол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возраст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уровень дохода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разделение аудиторий в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%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соотношении и т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.)  </w:t>
            </w:r>
          </w:p>
          <w:p>
            <w:pPr>
              <w:pStyle w:val="Body"/>
              <w:rPr>
                <w:rFonts w:ascii="Helvetica Neue" w:cs="Helvetica Neue" w:hAnsi="Helvetica Neue" w:eastAsia="Helvetica Neue"/>
                <w:sz w:val="16"/>
                <w:szCs w:val="16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и психографика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портрет потребителя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.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en-US"/>
              </w:rPr>
              <w:t>lifestyle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 и т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д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7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Ситуации потребления продукта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16"/>
                <w:szCs w:val="16"/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как часто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в каких ситуациях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  <w:p>
            <w:pPr>
              <w:pStyle w:val="Body"/>
              <w:rPr>
                <w:rFonts w:ascii="Helvetica Neue" w:cs="Helvetica Neue" w:hAnsi="Helvetica Neue" w:eastAsia="Helvetica Neue"/>
                <w:sz w:val="16"/>
                <w:szCs w:val="16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Мотивация потребления продукта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рациональные и эмоциональные причины потребления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>Рекламная кампания</w:t>
            </w:r>
          </w:p>
        </w:tc>
      </w:tr>
      <w:tr>
        <w:tblPrEx>
          <w:shd w:val="clear" w:color="auto" w:fill="ced7e7"/>
        </w:tblPrEx>
        <w:trPr>
          <w:trHeight w:val="122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Цел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и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 рекламной кампании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   -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бизнес цель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   -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маркетинговая цель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Побудительная задача кампании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что потребитель должен сделать после получения рекламного сообщения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Эмоциональная задача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какое впечатление необходимо произвести на ц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а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Ключевое сообщение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посыл потребителю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Тональность сообщения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Как должно изменится восприятие ц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а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о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бренде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 благодаря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кампании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Планируемые к использованию медиа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ТВ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радио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наружка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пре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роллы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en-US"/>
              </w:rPr>
              <w:t>youtube, mobil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у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en-US"/>
              </w:rPr>
              <w:t xml:space="preserve">vido,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баннеры и т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д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.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Период проведения кампании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старт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 кампании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89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Бюджет кампании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креатив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продакшн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медиа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 с рзабивкой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Охват кампании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национальный 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конкретные регионы или города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Предыдущая маркетинговая активность бренда </w:t>
            </w:r>
            <w:r>
              <w:rPr>
                <w:rFonts w:ascii="Helvetica Neue" w:hAnsi="Helvetica Neue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/ </w:t>
            </w: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зонтичного бренда </w:t>
            </w:r>
          </w:p>
        </w:tc>
      </w:tr>
      <w:tr>
        <w:tblPrEx>
          <w:shd w:val="clear" w:color="auto" w:fill="ced7e7"/>
        </w:tblPrEx>
        <w:trPr>
          <w:trHeight w:val="1159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Виды активности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периоды проведения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используемые рекламные материалы 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22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Результаты предыдущих кампаний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их эффективность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плюсы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/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минусы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b w:val="1"/>
                <w:bCs w:val="1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Дополнительные требования </w:t>
            </w:r>
          </w:p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Пожелания к основным идеям рекламных материалов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Обязательные требования к рекламным материалам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какие элементы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должны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 присутствовать в р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.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м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 xml:space="preserve">.,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чему они должны соответствовать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Чего следует избежать при разработке материалов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что 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не должно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 xml:space="preserve"> в них присутствовать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Базовые цвета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шрифты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,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 брендбук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гайдлайны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,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 иные требования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b w:val="1"/>
                <w:bCs w:val="1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>Дополнительные пожелания Клиента</w:t>
            </w:r>
          </w:p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74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b w:val="1"/>
                <w:bCs w:val="1"/>
                <w:sz w:val="20"/>
                <w:szCs w:val="2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>Задачи Агентства</w:t>
            </w:r>
          </w:p>
        </w:tc>
      </w:tr>
      <w:tr>
        <w:tblPrEx>
          <w:shd w:val="clear" w:color="auto" w:fill="ced7e7"/>
        </w:tblPrEx>
        <w:trPr>
          <w:trHeight w:val="242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1.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2.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3.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...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Разработать Креативную концепцию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____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и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следующие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 материалы к ней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: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___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___</w:t>
            </w:r>
          </w:p>
          <w:p>
            <w:pPr>
              <w:pStyle w:val="Body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___</w:t>
            </w:r>
          </w:p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Осуществить креативный надзор за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производством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____</w:t>
            </w:r>
          </w:p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…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…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1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>Порядок принятия работы</w:t>
            </w:r>
          </w:p>
        </w:tc>
      </w:tr>
      <w:tr>
        <w:tblPrEx>
          <w:shd w:val="clear" w:color="auto" w:fill="ced7e7"/>
        </w:tblPrEx>
        <w:trPr>
          <w:trHeight w:val="146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20"/>
                <w:szCs w:val="2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Лица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принимающие решения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Лицо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принимающее финальное решение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Планируется ли тестирование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если да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какое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…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142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sz w:val="16"/>
                <w:szCs w:val="16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Критерии оценки разработки Агентства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16"/>
                <w:szCs w:val="16"/>
                <w:rtl w:val="0"/>
              </w:rPr>
            </w:pP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16"/>
                <w:szCs w:val="16"/>
                <w:rtl w:val="0"/>
                <w:lang w:val="ru-RU"/>
              </w:rPr>
              <w:t>в порядке приоритета</w:t>
            </w:r>
            <w:r>
              <w:rPr>
                <w:rFonts w:ascii="Helvetica Neue" w:hAnsi="Helvetica Neue"/>
                <w:sz w:val="16"/>
                <w:szCs w:val="16"/>
                <w:rtl w:val="0"/>
                <w:lang w:val="ru-RU"/>
              </w:rPr>
              <w:t>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2.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Очная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/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заочная презентация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3.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Наличие промежуточных встреч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/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дебрифинги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Helvetica Neue" w:cs="Helvetica Neue" w:hAnsi="Helvetica Neue" w:eastAsia="Helvetica Neue"/>
                <w:sz w:val="20"/>
                <w:szCs w:val="20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1700" w:hRule="atLeast"/>
        </w:trPr>
        <w:tc>
          <w:tcPr>
            <w:tcW w:type="dxa" w:w="39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Helvetica Neue" w:cs="Helvetica Neue" w:hAnsi="Helvetica Neue" w:eastAsia="Helvetica Neue"/>
                <w:b w:val="1"/>
                <w:bCs w:val="1"/>
                <w:sz w:val="20"/>
                <w:szCs w:val="20"/>
              </w:rPr>
            </w:pPr>
            <w:r>
              <w:rPr>
                <w:rFonts w:ascii="Helvetica Neue" w:hAnsi="Helvetica Neue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Этапы и условия работы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1.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 xml:space="preserve">Стоимость участия в тендере 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если речь о тендере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>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2.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Сроки</w:t>
            </w:r>
            <w:r>
              <w:rPr>
                <w:rFonts w:ascii="Helvetica Neue" w:hAnsi="Helvetica Neue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формат предоставления предложения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Helvetica Neue" w:cs="Helvetica Neue" w:hAnsi="Helvetica Neue" w:eastAsia="Helvetica Neue"/>
                <w:sz w:val="20"/>
                <w:szCs w:val="20"/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…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 w:hAnsi="Helvetica Neue" w:hint="default"/>
                <w:sz w:val="20"/>
                <w:szCs w:val="20"/>
                <w:rtl w:val="0"/>
                <w:lang w:val="ru-RU"/>
              </w:rPr>
              <w:t>…</w:t>
            </w:r>
          </w:p>
        </w:tc>
        <w:tc>
          <w:tcPr>
            <w:tcW w:type="dxa" w:w="62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jc w:val="center"/>
        <w:rPr>
          <w:rFonts w:ascii="Helvetica" w:cs="Helvetica" w:hAnsi="Helvetica" w:eastAsia="Helvetica"/>
          <w:sz w:val="20"/>
          <w:szCs w:val="20"/>
        </w:rPr>
      </w:pPr>
    </w:p>
    <w:p>
      <w:pPr>
        <w:pStyle w:val="Body"/>
      </w:pPr>
    </w:p>
    <w:p>
      <w:pPr>
        <w:pStyle w:val="Body"/>
      </w:pPr>
    </w:p>
    <w:p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rPr>
          <w:b w:val="1"/>
          <w:bCs w:val="1"/>
          <w:caps w:val="1"/>
          <w:spacing w:val="12"/>
          <w:sz w:val="24"/>
          <w:szCs w:val="24"/>
          <w:lang w:val="ru-RU"/>
        </w:rPr>
      </w:pPr>
      <w:r>
        <w:rPr>
          <w:b w:val="1"/>
          <w:bCs w:val="1"/>
          <w:caps w:val="1"/>
          <w:spacing w:val="12"/>
          <w:sz w:val="24"/>
          <w:szCs w:val="24"/>
          <w:rtl w:val="0"/>
          <w:lang w:val="ru-RU"/>
        </w:rPr>
        <w:t>Подписи сторон</w:t>
      </w:r>
    </w:p>
    <w:p>
      <w:pPr>
        <w:pStyle w:val="Body"/>
        <w:rPr>
          <w:caps w:val="1"/>
        </w:rPr>
      </w:pPr>
    </w:p>
    <w:p>
      <w:pPr>
        <w:pStyle w:val="Body"/>
        <w:jc w:val="both"/>
        <w:rPr>
          <w:rFonts w:ascii="Helvetica" w:cs="Helvetica" w:hAnsi="Helvetica" w:eastAsia="Helvetica"/>
          <w:sz w:val="20"/>
          <w:szCs w:val="20"/>
        </w:rPr>
      </w:pPr>
      <w:r>
        <w:rPr>
          <w:rFonts w:ascii="Helvetica" w:hAnsi="Helvetica" w:hint="default"/>
          <w:sz w:val="20"/>
          <w:szCs w:val="20"/>
          <w:rtl w:val="0"/>
          <w:lang w:val="ru-RU"/>
        </w:rPr>
        <w:t>Бриф со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6069692</wp:posOffset>
            </wp:positionH>
            <wp:positionV relativeFrom="page">
              <wp:posOffset>225987</wp:posOffset>
            </wp:positionV>
            <wp:extent cx="1048707" cy="49410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deech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eech_logo.jpg" descr="deech_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707" cy="4941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hAnsi="Helvetica" w:hint="default"/>
          <w:sz w:val="20"/>
          <w:szCs w:val="20"/>
          <w:rtl w:val="0"/>
          <w:lang w:val="ru-RU"/>
        </w:rPr>
        <w:t>ставлен Заказчиком</w:t>
      </w:r>
      <w:r>
        <w:rPr>
          <w:rFonts w:ascii="Helvetica" w:hAnsi="Helvetica"/>
          <w:sz w:val="20"/>
          <w:szCs w:val="20"/>
          <w:rtl w:val="0"/>
        </w:rPr>
        <w:t xml:space="preserve">, </w:t>
      </w:r>
      <w:r>
        <w:rPr>
          <w:rFonts w:ascii="Helvetica" w:hAnsi="Helvetica" w:hint="default"/>
          <w:sz w:val="20"/>
          <w:szCs w:val="20"/>
          <w:rtl w:val="0"/>
          <w:lang w:val="ru-RU"/>
        </w:rPr>
        <w:t>проверен Исполнителем</w:t>
      </w:r>
      <w:r>
        <w:rPr>
          <w:rFonts w:ascii="Helvetica" w:hAnsi="Helvetica"/>
          <w:sz w:val="20"/>
          <w:szCs w:val="20"/>
          <w:rtl w:val="0"/>
        </w:rPr>
        <w:t>.</w:t>
      </w:r>
    </w:p>
    <w:p>
      <w:pPr>
        <w:pStyle w:val="Body"/>
        <w:ind w:firstLine="709"/>
        <w:jc w:val="both"/>
        <w:rPr>
          <w:rFonts w:ascii="Helvetica" w:cs="Helvetica" w:hAnsi="Helvetica" w:eastAsia="Helvetica"/>
          <w:outline w:val="0"/>
          <w:color w:val="404040"/>
          <w:sz w:val="20"/>
          <w:szCs w:val="20"/>
          <w:u w:color="404040"/>
          <w14:textFill>
            <w14:solidFill>
              <w14:srgbClr w14:val="404040"/>
            </w14:solidFill>
          </w14:textFill>
        </w:rPr>
      </w:pPr>
    </w:p>
    <w:tbl>
      <w:tblPr>
        <w:tblW w:w="1018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8"/>
        <w:gridCol w:w="5400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478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line="240" w:lineRule="atLeast"/>
            </w:pPr>
            <w:r>
              <w:rPr>
                <w:rFonts w:ascii="Helvetica" w:hAnsi="Helvetica" w:hint="default"/>
                <w:sz w:val="20"/>
                <w:szCs w:val="20"/>
                <w:rtl w:val="0"/>
                <w:lang w:val="ru-RU"/>
              </w:rPr>
              <w:t>Заказчик</w:t>
            </w:r>
            <w:r>
              <w:rPr>
                <w:rFonts w:ascii="Helvetica" w:hAnsi="Helvetica"/>
                <w:sz w:val="20"/>
                <w:szCs w:val="20"/>
                <w:rtl w:val="0"/>
                <w:lang w:val="ru-RU"/>
              </w:rPr>
              <w:t>:</w:t>
            </w:r>
          </w:p>
        </w:tc>
        <w:tc>
          <w:tcPr>
            <w:tcW w:type="dxa" w:w="54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line="240" w:lineRule="atLeast"/>
            </w:pPr>
            <w:r>
              <w:rPr>
                <w:rFonts w:ascii="Helvetica" w:hAnsi="Helvetica" w:hint="default"/>
                <w:sz w:val="20"/>
                <w:szCs w:val="20"/>
                <w:rtl w:val="0"/>
                <w:lang w:val="ru-RU"/>
              </w:rPr>
              <w:t>Исполнитель</w:t>
            </w:r>
            <w:r>
              <w:rPr>
                <w:rFonts w:ascii="Helvetica" w:hAnsi="Helvetica"/>
                <w:sz w:val="20"/>
                <w:szCs w:val="20"/>
                <w:rtl w:val="0"/>
                <w:lang w:val="ru-RU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78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78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0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ind w:left="108" w:hanging="108"/>
        <w:jc w:val="both"/>
      </w:pPr>
      <w:r>
        <w:rPr>
          <w:rFonts w:ascii="Helvetica" w:cs="Helvetica" w:hAnsi="Helvetica" w:eastAsia="Helvetica"/>
          <w:outline w:val="0"/>
          <w:color w:val="404040"/>
          <w:sz w:val="20"/>
          <w:szCs w:val="20"/>
          <w:u w:color="404040"/>
          <w14:textFill>
            <w14:solidFill>
              <w14:srgbClr w14:val="404040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1134" w:right="851" w:bottom="567" w:left="851" w:header="708" w:footer="34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58" w:hanging="158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